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6B39" w:rsidRDefault="00B44CA9" w:rsidP="00A36B39">
      <w:pPr>
        <w:pStyle w:val="a3"/>
        <w:ind w:left="10490"/>
        <w:rPr>
          <w:rFonts w:ascii="Times New Roman" w:hAnsi="Times New Roman" w:cs="Times New Roman"/>
          <w:sz w:val="28"/>
          <w:szCs w:val="28"/>
        </w:rPr>
      </w:pPr>
      <w:r w:rsidRPr="00B44CA9">
        <w:rPr>
          <w:rFonts w:ascii="Times New Roman" w:hAnsi="Times New Roman" w:cs="Times New Roman"/>
          <w:sz w:val="28"/>
          <w:szCs w:val="28"/>
        </w:rPr>
        <w:t>Приложение 4</w:t>
      </w:r>
      <w:r w:rsidR="0034550F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5"/>
        <w:tblW w:w="0" w:type="auto"/>
        <w:tblInd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4"/>
      </w:tblGrid>
      <w:tr w:rsidR="00443F25" w:rsidRPr="00443F25" w:rsidTr="0034550F">
        <w:tc>
          <w:tcPr>
            <w:tcW w:w="5180" w:type="dxa"/>
          </w:tcPr>
          <w:p w:rsidR="0034550F" w:rsidRPr="00443F25" w:rsidRDefault="0034550F" w:rsidP="0034550F">
            <w:pPr>
              <w:pStyle w:val="Standard"/>
              <w:ind w:firstLine="0"/>
              <w:rPr>
                <w:sz w:val="28"/>
                <w:szCs w:val="28"/>
              </w:rPr>
            </w:pPr>
            <w:r w:rsidRPr="00443F25">
              <w:rPr>
                <w:sz w:val="28"/>
                <w:szCs w:val="28"/>
              </w:rPr>
              <w:t>к административному регламенту предоставления администрацией муниципального образования Темрюкский муниципальный район Краснодарского края предоставления муниципальной услуги «Заключение соглашения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собственности»</w:t>
            </w:r>
          </w:p>
          <w:p w:rsidR="0034550F" w:rsidRPr="00443F25" w:rsidRDefault="0034550F" w:rsidP="00A36B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36B39" w:rsidRPr="00443F25" w:rsidRDefault="00A36B39" w:rsidP="0034550F">
      <w:pPr>
        <w:spacing w:line="240" w:lineRule="auto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A36B39" w:rsidRPr="00443F25" w:rsidRDefault="00A36B39" w:rsidP="00A36B39">
      <w:pPr>
        <w:pStyle w:val="a4"/>
        <w:jc w:val="center"/>
        <w:rPr>
          <w:b/>
          <w:szCs w:val="28"/>
          <w:shd w:val="clear" w:color="auto" w:fill="FFFFFF"/>
        </w:rPr>
      </w:pPr>
      <w:r w:rsidRPr="00443F25">
        <w:rPr>
          <w:b/>
          <w:sz w:val="28"/>
          <w:szCs w:val="28"/>
          <w:shd w:val="clear" w:color="auto" w:fill="FFFFFF"/>
        </w:rPr>
        <w:t>ИСЧЕРПЫВАЮЩИЙ ПЕРЕЧЕНЬ</w:t>
      </w:r>
    </w:p>
    <w:p w:rsidR="00A36B39" w:rsidRPr="00443F25" w:rsidRDefault="00A36B39" w:rsidP="00A36B39">
      <w:pPr>
        <w:pStyle w:val="a4"/>
        <w:contextualSpacing/>
        <w:jc w:val="center"/>
        <w:rPr>
          <w:b/>
          <w:sz w:val="28"/>
          <w:szCs w:val="28"/>
          <w:shd w:val="clear" w:color="auto" w:fill="FFFFFF"/>
        </w:rPr>
      </w:pPr>
      <w:r w:rsidRPr="00443F25">
        <w:rPr>
          <w:b/>
          <w:sz w:val="28"/>
          <w:szCs w:val="28"/>
          <w:shd w:val="clear" w:color="auto" w:fill="FFFFFF"/>
        </w:rPr>
        <w:t>оснований для отказа в приёме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8766A7" w:rsidRPr="00443F25" w:rsidRDefault="008766A7" w:rsidP="00A36B39">
      <w:pPr>
        <w:pStyle w:val="a4"/>
        <w:contextualSpacing/>
        <w:jc w:val="center"/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1"/>
        <w:gridCol w:w="2101"/>
        <w:gridCol w:w="2578"/>
        <w:gridCol w:w="3260"/>
        <w:gridCol w:w="6060"/>
      </w:tblGrid>
      <w:tr w:rsidR="00D45B65" w:rsidTr="00BB7CC7">
        <w:tc>
          <w:tcPr>
            <w:tcW w:w="561" w:type="dxa"/>
          </w:tcPr>
          <w:p w:rsidR="00D45B65" w:rsidRPr="00BB7CC7" w:rsidRDefault="00D45B65" w:rsidP="00FE5C23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shd w:val="clear" w:color="auto" w:fill="FFFFFF"/>
              </w:rPr>
            </w:pPr>
            <w:r w:rsidRPr="00BB7CC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101" w:type="dxa"/>
          </w:tcPr>
          <w:p w:rsidR="00D45B65" w:rsidRPr="00BB7CC7" w:rsidRDefault="00D45B65" w:rsidP="00FE5C23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shd w:val="clear" w:color="auto" w:fill="FFFFFF"/>
              </w:rPr>
            </w:pPr>
            <w:r w:rsidRPr="00BB7CC7">
              <w:rPr>
                <w:rFonts w:ascii="Times New Roman" w:hAnsi="Times New Roman" w:cs="Times New Roman"/>
                <w:sz w:val="24"/>
                <w:szCs w:val="24"/>
              </w:rPr>
              <w:t>Идентификатор категории (признаков) заявителей</w:t>
            </w:r>
          </w:p>
        </w:tc>
        <w:tc>
          <w:tcPr>
            <w:tcW w:w="2578" w:type="dxa"/>
          </w:tcPr>
          <w:p w:rsidR="00D45B65" w:rsidRPr="00BB7CC7" w:rsidRDefault="00D45B65" w:rsidP="00FE5C23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shd w:val="clear" w:color="auto" w:fill="FFFFFF"/>
              </w:rPr>
            </w:pPr>
            <w:r w:rsidRPr="00BB7CC7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оснований для отказа в приёме запроса о предоставлении муниципальной услуги и документов, необходимых для предоставления муниципальной </w:t>
            </w:r>
            <w:r w:rsidRPr="00BB7C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услуги</w:t>
            </w:r>
          </w:p>
        </w:tc>
        <w:tc>
          <w:tcPr>
            <w:tcW w:w="3260" w:type="dxa"/>
          </w:tcPr>
          <w:p w:rsidR="00D45B65" w:rsidRPr="00BB7CC7" w:rsidRDefault="00D45B65" w:rsidP="00FE5C23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 w:rsidRPr="00BB7CC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lastRenderedPageBreak/>
              <w:t>Перечень оснований для приостановления предоставления муниципальной услуги</w:t>
            </w:r>
          </w:p>
        </w:tc>
        <w:tc>
          <w:tcPr>
            <w:tcW w:w="6060" w:type="dxa"/>
          </w:tcPr>
          <w:p w:rsidR="00D45B65" w:rsidRPr="00BB7CC7" w:rsidRDefault="00D45B65" w:rsidP="00FE5C23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 w:rsidRPr="00BB7CC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t>Перечень оснований для отказа в предоставлении муниципальной услуги</w:t>
            </w:r>
          </w:p>
        </w:tc>
      </w:tr>
      <w:tr w:rsidR="00D45B65" w:rsidTr="00BB7CC7">
        <w:tc>
          <w:tcPr>
            <w:tcW w:w="561" w:type="dxa"/>
          </w:tcPr>
          <w:p w:rsidR="00D45B65" w:rsidRPr="00BB7CC7" w:rsidRDefault="00D45B65" w:rsidP="00FE5C23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  <w:lang w:val="en-US"/>
              </w:rPr>
            </w:pPr>
            <w:r w:rsidRPr="00BB7CC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  <w:lang w:val="en-US"/>
              </w:rPr>
              <w:lastRenderedPageBreak/>
              <w:t>1</w:t>
            </w:r>
          </w:p>
        </w:tc>
        <w:tc>
          <w:tcPr>
            <w:tcW w:w="2101" w:type="dxa"/>
          </w:tcPr>
          <w:p w:rsidR="00D45B65" w:rsidRPr="00BB7CC7" w:rsidRDefault="00D45B65" w:rsidP="00FE5C23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  <w:lang w:val="en-US"/>
              </w:rPr>
            </w:pPr>
            <w:r w:rsidRPr="00BB7CC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  <w:lang w:val="en-US"/>
              </w:rPr>
              <w:t>2</w:t>
            </w:r>
          </w:p>
        </w:tc>
        <w:tc>
          <w:tcPr>
            <w:tcW w:w="2578" w:type="dxa"/>
          </w:tcPr>
          <w:p w:rsidR="00D45B65" w:rsidRPr="00BB7CC7" w:rsidRDefault="00D45B65" w:rsidP="00FE5C23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  <w:lang w:val="en-US"/>
              </w:rPr>
            </w:pPr>
            <w:r w:rsidRPr="00BB7CC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  <w:lang w:val="en-US"/>
              </w:rPr>
              <w:t>3</w:t>
            </w:r>
          </w:p>
        </w:tc>
        <w:tc>
          <w:tcPr>
            <w:tcW w:w="3260" w:type="dxa"/>
          </w:tcPr>
          <w:p w:rsidR="00D45B65" w:rsidRPr="00BB7CC7" w:rsidRDefault="00D45B65" w:rsidP="00FE5C23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  <w:lang w:val="en-US"/>
              </w:rPr>
            </w:pPr>
            <w:r w:rsidRPr="00BB7CC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  <w:lang w:val="en-US"/>
              </w:rPr>
              <w:t>4</w:t>
            </w:r>
          </w:p>
        </w:tc>
        <w:tc>
          <w:tcPr>
            <w:tcW w:w="6060" w:type="dxa"/>
          </w:tcPr>
          <w:p w:rsidR="00D45B65" w:rsidRPr="00BB7CC7" w:rsidRDefault="00D45B65" w:rsidP="00FE5C23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  <w:lang w:val="en-US"/>
              </w:rPr>
            </w:pPr>
            <w:r w:rsidRPr="00BB7CC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  <w:lang w:val="en-US"/>
              </w:rPr>
              <w:t>5</w:t>
            </w:r>
          </w:p>
        </w:tc>
      </w:tr>
      <w:tr w:rsidR="00D45B65" w:rsidTr="00BB7CC7">
        <w:tc>
          <w:tcPr>
            <w:tcW w:w="561" w:type="dxa"/>
          </w:tcPr>
          <w:p w:rsidR="00D45B65" w:rsidRPr="00BB7CC7" w:rsidRDefault="00D45B65" w:rsidP="00FE5C23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 w:rsidRPr="00BB7CC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  <w:lang w:val="en-US"/>
              </w:rPr>
              <w:t>1</w:t>
            </w:r>
            <w:r w:rsidRPr="00BB7CC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101" w:type="dxa"/>
          </w:tcPr>
          <w:p w:rsidR="00D45B65" w:rsidRPr="00BB7CC7" w:rsidRDefault="00D45B65" w:rsidP="00FE5C23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 w:rsidRPr="00BB7CC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t>А-Г</w:t>
            </w:r>
          </w:p>
        </w:tc>
        <w:tc>
          <w:tcPr>
            <w:tcW w:w="2578" w:type="dxa"/>
          </w:tcPr>
          <w:p w:rsidR="00D45B65" w:rsidRPr="00BB7CC7" w:rsidRDefault="00D45B65" w:rsidP="00D45B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CC7">
              <w:rPr>
                <w:rFonts w:ascii="Times New Roman" w:hAnsi="Times New Roman" w:cs="Times New Roman"/>
                <w:sz w:val="24"/>
                <w:szCs w:val="24"/>
              </w:rPr>
              <w:t>несоответствие установленной формы запроса (заявления) приложению 5 регламента;</w:t>
            </w:r>
          </w:p>
          <w:p w:rsidR="00D45B65" w:rsidRPr="00BB7CC7" w:rsidRDefault="00D45B65" w:rsidP="00D45B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CC7">
              <w:rPr>
                <w:rFonts w:ascii="Times New Roman" w:hAnsi="Times New Roman" w:cs="Times New Roman"/>
                <w:sz w:val="24"/>
                <w:szCs w:val="24"/>
              </w:rPr>
              <w:t>запрос (заявления) подан в иной уполномоченный орган;</w:t>
            </w:r>
          </w:p>
          <w:p w:rsidR="00D45B65" w:rsidRPr="00BB7CC7" w:rsidRDefault="00D45B65" w:rsidP="00D45B65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shd w:val="clear" w:color="auto" w:fill="FFFFFF"/>
              </w:rPr>
            </w:pPr>
            <w:r w:rsidRPr="00BB7CC7">
              <w:rPr>
                <w:rFonts w:ascii="Times New Roman" w:hAnsi="Times New Roman" w:cs="Times New Roman"/>
                <w:sz w:val="24"/>
                <w:szCs w:val="24"/>
              </w:rPr>
              <w:t>к запросу (заявлению) не приложены документы, указанные в приложение 3 регламента.</w:t>
            </w:r>
          </w:p>
        </w:tc>
        <w:tc>
          <w:tcPr>
            <w:tcW w:w="3260" w:type="dxa"/>
          </w:tcPr>
          <w:p w:rsidR="00D45B65" w:rsidRPr="00BB7CC7" w:rsidRDefault="00BB7CC7" w:rsidP="00BB7CC7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shd w:val="clear" w:color="auto" w:fill="FFFFFF"/>
              </w:rPr>
            </w:pPr>
            <w:r w:rsidRPr="00BB7CC7">
              <w:rPr>
                <w:rFonts w:ascii="Times New Roman" w:hAnsi="Times New Roman" w:cs="Times New Roman"/>
                <w:sz w:val="24"/>
                <w:szCs w:val="24"/>
              </w:rPr>
              <w:t xml:space="preserve">В случае, если на момент поступления в администрацию заявления о заключении соглашения, на рассмотрении такого органа находится представленная ранее другим лицом схема расположения земельного участка и местоположение земельных участков, образование которых предусмотрено этими схемами, частично или полностью совпадает, администрация принимает решение о приостановлении рассмотрения поданного позднее заявления об утверждении схемы расположения земельного участка и направляет такое решение заявителю, до принятия решения об утверждении ранее направленной схемы расположения земельного участка либо до принятия решения об отказе в утверждении ранее направленной схемы расположения земельного </w:t>
            </w:r>
            <w:r w:rsidRPr="00BB7C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участка</w:t>
            </w:r>
          </w:p>
        </w:tc>
        <w:tc>
          <w:tcPr>
            <w:tcW w:w="6060" w:type="dxa"/>
          </w:tcPr>
          <w:p w:rsidR="00BB7CC7" w:rsidRPr="00BB7CC7" w:rsidRDefault="00BB7CC7" w:rsidP="00BB7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C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) заявление о перераспределении земельных участков подано в случаях, не предусмотренных пунктом 1 статьи                                 39.28 ЗК РФ;</w:t>
            </w:r>
          </w:p>
          <w:p w:rsidR="00BB7CC7" w:rsidRPr="00BB7CC7" w:rsidRDefault="00BB7CC7" w:rsidP="00BB7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CC7">
              <w:rPr>
                <w:rFonts w:ascii="Times New Roman" w:hAnsi="Times New Roman" w:cs="Times New Roman"/>
                <w:sz w:val="24"/>
                <w:szCs w:val="24"/>
              </w:rPr>
              <w:t>2) не представлено в письменной форме согласие лиц, указанных в пункте 4 статьи 11.2 ЗК РФ, если земельные участки, которые предлагается перераспределить, обременены правами указанных лиц;</w:t>
            </w:r>
          </w:p>
          <w:p w:rsidR="00BB7CC7" w:rsidRPr="00BB7CC7" w:rsidRDefault="00BB7CC7" w:rsidP="00BB7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CC7">
              <w:rPr>
                <w:rFonts w:ascii="Times New Roman" w:hAnsi="Times New Roman" w:cs="Times New Roman"/>
                <w:sz w:val="24"/>
                <w:szCs w:val="24"/>
              </w:rPr>
              <w:t>3) на земельном участке, на который возникает право частной собственности, в результате перераспределения земельного участка, находящегося в частной собственности, и земель и (или) земельных участков, находящихся в государственной или муниципальной собственности, будут расположены здание, сооружение, объект незавершенного строительства, находящиеся в государственной или муниципальной собственности, в собственности других граждан или юридических лиц, за исключением сооружения (в том числе сооружения, строительство которого не завершено), размещение которого допускается на основании сервитута, публичного сервитута, или объекта, размещенного в соответствии с</w:t>
            </w:r>
            <w:r w:rsidR="00177CDB">
              <w:rPr>
                <w:rFonts w:ascii="Times New Roman" w:hAnsi="Times New Roman" w:cs="Times New Roman"/>
                <w:sz w:val="24"/>
                <w:szCs w:val="24"/>
              </w:rPr>
              <w:t xml:space="preserve"> пунктом 3 статьи </w:t>
            </w:r>
            <w:r w:rsidRPr="00BB7CC7">
              <w:rPr>
                <w:rFonts w:ascii="Times New Roman" w:hAnsi="Times New Roman" w:cs="Times New Roman"/>
                <w:sz w:val="24"/>
                <w:szCs w:val="24"/>
              </w:rPr>
              <w:t>39.36 ЗК РФ</w:t>
            </w:r>
            <w:r w:rsidR="00ED15D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bookmarkStart w:id="0" w:name="_GoBack"/>
            <w:bookmarkEnd w:id="0"/>
          </w:p>
          <w:p w:rsidR="00BB7CC7" w:rsidRPr="00BB7CC7" w:rsidRDefault="00BB7CC7" w:rsidP="00BB7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CC7">
              <w:rPr>
                <w:rFonts w:ascii="Times New Roman" w:hAnsi="Times New Roman" w:cs="Times New Roman"/>
                <w:sz w:val="24"/>
                <w:szCs w:val="24"/>
              </w:rPr>
              <w:t xml:space="preserve">4) проектом межевания территории или схемой расположения земельного участка предусматривается перераспределение земельного участка, находящегося в частной собственности, и земель и (или) земельных участков, находящихся в государственной или муниципальной собственности и изъятых из оборота или ограниченных в обороте, за исключением случаев, если такое перераспределение осуществляется в соответствии с проектом межевания территории с земельными участками, указанными в подпункте 7 пункта 5 статьи                      </w:t>
            </w:r>
            <w:r w:rsidRPr="00BB7C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 ЗК РФ;</w:t>
            </w:r>
          </w:p>
          <w:p w:rsidR="00BB7CC7" w:rsidRPr="00BB7CC7" w:rsidRDefault="00BB7CC7" w:rsidP="00BB7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CC7">
              <w:rPr>
                <w:rFonts w:ascii="Times New Roman" w:hAnsi="Times New Roman" w:cs="Times New Roman"/>
                <w:sz w:val="24"/>
                <w:szCs w:val="24"/>
              </w:rPr>
              <w:t>5) образование земельного участка или земельных участков предусматривается путем перераспределения земельного участка, находящегося в частной собственности, и земель и (или) земельного участка, находящихся в государственной или муниципальной собственности и зарезервированных для государственных или муниципальных нужд;</w:t>
            </w:r>
          </w:p>
          <w:p w:rsidR="00BB7CC7" w:rsidRPr="00BB7CC7" w:rsidRDefault="00BB7CC7" w:rsidP="00BB7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CC7">
              <w:rPr>
                <w:rFonts w:ascii="Times New Roman" w:hAnsi="Times New Roman" w:cs="Times New Roman"/>
                <w:sz w:val="24"/>
                <w:szCs w:val="24"/>
              </w:rPr>
              <w:t>6) проектом межевания территории или схемой расположения земельного участка предусматривается перераспределение земельного участка, находящегося в частной собственности, и земельного участка, находящегося в государственной или муниципальной собственности и являющегося предметом аукциона, извещение о проведении которого размещено в соответствии с пунктом 19 статьи 39.11 ЗК РФ, либо в отношении такого земельного участка принято решение о предварительном согласовании его предоставления, срок действия которого не истек;</w:t>
            </w:r>
          </w:p>
          <w:p w:rsidR="00BB7CC7" w:rsidRPr="00BB7CC7" w:rsidRDefault="00BB7CC7" w:rsidP="00BB7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CC7">
              <w:rPr>
                <w:rFonts w:ascii="Times New Roman" w:hAnsi="Times New Roman" w:cs="Times New Roman"/>
                <w:sz w:val="24"/>
                <w:szCs w:val="24"/>
              </w:rPr>
              <w:t>7) образование земельного участка или земельных участков предусматривается путем перераспределения земельного участка, находящегося в частной собственности, и земель и (или) земельных участков, которые находятся в государственной или муниципальной собственности и в отношении которых подано заявление о предварительном согласовании предоставления земельного участка или заявление о предоставлении земельного участка и не принято решение об отказе в этом предварительном согласовании или этом предоставлении;</w:t>
            </w:r>
          </w:p>
          <w:p w:rsidR="00BB7CC7" w:rsidRPr="00BB7CC7" w:rsidRDefault="00BB7CC7" w:rsidP="00BB7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CC7">
              <w:rPr>
                <w:rFonts w:ascii="Times New Roman" w:hAnsi="Times New Roman" w:cs="Times New Roman"/>
                <w:sz w:val="24"/>
                <w:szCs w:val="24"/>
              </w:rPr>
              <w:t xml:space="preserve">8) в результате перераспределения земельных участков площадь земельного участка, на который возникает право частной собственности, будет превышать </w:t>
            </w:r>
            <w:r w:rsidRPr="00BB7C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установленные предельные максимальные размеры земельных участков;</w:t>
            </w:r>
          </w:p>
          <w:p w:rsidR="00BB7CC7" w:rsidRPr="00BB7CC7" w:rsidRDefault="00BB7CC7" w:rsidP="00BB7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CC7">
              <w:rPr>
                <w:rFonts w:ascii="Times New Roman" w:hAnsi="Times New Roman" w:cs="Times New Roman"/>
                <w:sz w:val="24"/>
                <w:szCs w:val="24"/>
              </w:rPr>
              <w:t>9) образование земельного участка или земельных участков предусматривается путем перераспределения земельного участка, находящегося в частной собственности, и земель, из которых возможно образовать самостоятельный земельный участок без нарушения требований, предусмотренных статьей 11.9 ЗК РФ за исключением случаев перераспределения земельных участков в соответствии с подпунктами 1 и 4 пункта 1 статьи 39.28 ЗК РФ;</w:t>
            </w:r>
          </w:p>
          <w:p w:rsidR="00BB7CC7" w:rsidRPr="00BB7CC7" w:rsidRDefault="00BB7CC7" w:rsidP="00BB7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CC7">
              <w:rPr>
                <w:rFonts w:ascii="Times New Roman" w:hAnsi="Times New Roman" w:cs="Times New Roman"/>
                <w:sz w:val="24"/>
                <w:szCs w:val="24"/>
              </w:rPr>
              <w:t>10) границы земельного участка, находящегося в частной собственности, подлежат уточнению в соответствии с Федеральным законом «О государственной регистрации недвижимости»;</w:t>
            </w:r>
          </w:p>
          <w:p w:rsidR="00BB7CC7" w:rsidRPr="00BB7CC7" w:rsidRDefault="00BB7CC7" w:rsidP="00BB7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CC7">
              <w:rPr>
                <w:rFonts w:ascii="Times New Roman" w:hAnsi="Times New Roman" w:cs="Times New Roman"/>
                <w:sz w:val="24"/>
                <w:szCs w:val="24"/>
              </w:rPr>
              <w:t>11) имеются основания для отказа в утверждении схемы расположения земельного участка, предусмотренные пунктом 16 статьи 11.10 ЗК РФ;</w:t>
            </w:r>
          </w:p>
          <w:p w:rsidR="00BB7CC7" w:rsidRPr="00BB7CC7" w:rsidRDefault="00BB7CC7" w:rsidP="00BB7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CC7">
              <w:rPr>
                <w:rFonts w:ascii="Times New Roman" w:hAnsi="Times New Roman" w:cs="Times New Roman"/>
                <w:sz w:val="24"/>
                <w:szCs w:val="24"/>
              </w:rPr>
              <w:t>12) приложенная к заявлению о перераспределении земельных участков схема расположения земельного участка разработана с нарушением требований к образуемым земельным участкам или не соответствует утвержденным проекту планировки территории, землеустроительной документации, положению об особо охраняемой природной территории;</w:t>
            </w:r>
          </w:p>
          <w:p w:rsidR="00BB7CC7" w:rsidRPr="00BB7CC7" w:rsidRDefault="00BB7CC7" w:rsidP="00BB7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CC7">
              <w:rPr>
                <w:rFonts w:ascii="Times New Roman" w:hAnsi="Times New Roman" w:cs="Times New Roman"/>
                <w:sz w:val="24"/>
                <w:szCs w:val="24"/>
              </w:rPr>
              <w:t>13) земельный участок, образование которого предусмотрено схемой расположения земельного участка, расположен в границах территории, в отношении которой утвержден проект межевания территории.</w:t>
            </w:r>
          </w:p>
          <w:p w:rsidR="00BB7CC7" w:rsidRPr="00BB7CC7" w:rsidRDefault="00BB7CC7" w:rsidP="00BB7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CC7">
              <w:rPr>
                <w:rFonts w:ascii="Times New Roman" w:hAnsi="Times New Roman" w:cs="Times New Roman"/>
                <w:sz w:val="24"/>
                <w:szCs w:val="24"/>
              </w:rPr>
              <w:t xml:space="preserve">14) в результате перераспределения земель и (или) земельных участков, находящихся в государственной или муниципальной собственности, и земельных </w:t>
            </w:r>
            <w:r w:rsidRPr="00BB7C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участков, находящихся в частной собственности, в случае, предусмотренном подпунктом 3.1 пункта 1 статьи 39.28 ЗК РФ, площадь исходного земельного участка, находящегося в частной собственности, увеличивается более чем на одну тысячу квадратных метров, за исключением случаев, если такое перераспределение осуществляется в соответствии с утвержденным проектом межевания территории или при перераспределении земельных участков сельскохозяйственного назначения, оборот которых регулируется Федеральным законом «Об обороте земель сельскохозяйственного назначения»;</w:t>
            </w:r>
          </w:p>
          <w:p w:rsidR="00BB7CC7" w:rsidRPr="00BB7CC7" w:rsidRDefault="00BB7CC7" w:rsidP="00BB7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CC7">
              <w:rPr>
                <w:rFonts w:ascii="Times New Roman" w:hAnsi="Times New Roman" w:cs="Times New Roman"/>
                <w:sz w:val="24"/>
                <w:szCs w:val="24"/>
              </w:rPr>
              <w:t>15) предусматривается перераспределение по основанию, предусмотренному подпунктом 3.1 пункта 1 статьи 39.28 ЗК РФ, земельного участка, находящегося в частной собственности, который ранее был образован в результате перераспределения по указанному основанию земельного участка, находящегося в частной собственности, и земель и (или) земельных участков, находящихся в государственной или муниципальной собственности;</w:t>
            </w:r>
          </w:p>
          <w:p w:rsidR="00BB7CC7" w:rsidRPr="00BB7CC7" w:rsidRDefault="00BB7CC7" w:rsidP="00BB7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CC7">
              <w:rPr>
                <w:rFonts w:ascii="Times New Roman" w:hAnsi="Times New Roman" w:cs="Times New Roman"/>
                <w:sz w:val="24"/>
                <w:szCs w:val="24"/>
              </w:rPr>
              <w:t>16) предусматривается перераспределение по основанию, предусмотренному подпунктом 3.1 пункта 1 статьи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7CC7">
              <w:rPr>
                <w:rFonts w:ascii="Times New Roman" w:hAnsi="Times New Roman" w:cs="Times New Roman"/>
                <w:sz w:val="24"/>
                <w:szCs w:val="24"/>
              </w:rPr>
              <w:t>39.28 ЗК РФ, земельного участка, находящегося в частной собственности, образованного в результате раздела или объединения из земельного участка, указанного в подпункте 15 настоящего пункта;</w:t>
            </w:r>
          </w:p>
          <w:p w:rsidR="00D45B65" w:rsidRPr="00BB7CC7" w:rsidRDefault="00BB7CC7" w:rsidP="00BB7CC7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shd w:val="clear" w:color="auto" w:fill="FFFFFF"/>
              </w:rPr>
            </w:pPr>
            <w:r w:rsidRPr="00BB7CC7">
              <w:rPr>
                <w:rFonts w:ascii="Times New Roman" w:hAnsi="Times New Roman" w:cs="Times New Roman"/>
                <w:sz w:val="24"/>
                <w:szCs w:val="24"/>
              </w:rPr>
              <w:t xml:space="preserve">17) если площадь земельного участка, на который возникает право частной собственности, превышает площадь такого земельного участка, указанную в схеме расположения земельного участка или проекте межевания территории, в соответствии с которыми такой земельный участок был образован, более чем на </w:t>
            </w:r>
            <w:r w:rsidRPr="00BB7C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десять процентов.</w:t>
            </w:r>
          </w:p>
        </w:tc>
      </w:tr>
    </w:tbl>
    <w:p w:rsidR="00FE5C23" w:rsidRPr="00CD2B69" w:rsidRDefault="00FE5C23" w:rsidP="00FE5C23">
      <w:pPr>
        <w:widowControl w:val="0"/>
        <w:suppressAutoHyphens/>
        <w:overflowPunct w:val="0"/>
        <w:autoSpaceDE w:val="0"/>
        <w:autoSpaceDN w:val="0"/>
        <w:spacing w:after="0" w:line="245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</w:rPr>
      </w:pPr>
    </w:p>
    <w:p w:rsidR="00FE5C23" w:rsidRPr="00CD2B69" w:rsidRDefault="00FE5C23" w:rsidP="00FE5C23">
      <w:pPr>
        <w:widowControl w:val="0"/>
        <w:suppressAutoHyphens/>
        <w:overflowPunct w:val="0"/>
        <w:autoSpaceDE w:val="0"/>
        <w:autoSpaceDN w:val="0"/>
        <w:spacing w:after="0" w:line="245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</w:rPr>
      </w:pPr>
    </w:p>
    <w:p w:rsidR="00FE5C23" w:rsidRDefault="00FE5C23" w:rsidP="00FE5C23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FE5C23" w:rsidRDefault="00FE5C23" w:rsidP="00FE5C23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E5C23" w:rsidRDefault="00FE5C23" w:rsidP="00FE5C23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муниципальный район</w:t>
      </w:r>
    </w:p>
    <w:p w:rsidR="00FE5C23" w:rsidRPr="00E763DC" w:rsidRDefault="00FE5C23" w:rsidP="00FE5C23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                                                                       </w:t>
      </w:r>
      <w:r w:rsidR="0034550F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BB7CC7">
        <w:rPr>
          <w:rFonts w:ascii="Times New Roman" w:hAnsi="Times New Roman" w:cs="Times New Roman"/>
          <w:sz w:val="28"/>
          <w:szCs w:val="28"/>
        </w:rPr>
        <w:t xml:space="preserve">       </w:t>
      </w:r>
      <w:r w:rsidR="0034550F">
        <w:rPr>
          <w:rFonts w:ascii="Times New Roman" w:hAnsi="Times New Roman" w:cs="Times New Roman"/>
          <w:sz w:val="28"/>
          <w:szCs w:val="28"/>
        </w:rPr>
        <w:t>А.С. Харчев</w:t>
      </w:r>
    </w:p>
    <w:p w:rsidR="00F20C6A" w:rsidRDefault="00F20C6A"/>
    <w:sectPr w:rsidR="00F20C6A" w:rsidSect="009E69F0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683F" w:rsidRDefault="0086683F" w:rsidP="009E69F0">
      <w:pPr>
        <w:spacing w:after="0" w:line="240" w:lineRule="auto"/>
      </w:pPr>
      <w:r>
        <w:separator/>
      </w:r>
    </w:p>
  </w:endnote>
  <w:endnote w:type="continuationSeparator" w:id="0">
    <w:p w:rsidR="0086683F" w:rsidRDefault="0086683F" w:rsidP="009E6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683F" w:rsidRDefault="0086683F" w:rsidP="009E69F0">
      <w:pPr>
        <w:spacing w:after="0" w:line="240" w:lineRule="auto"/>
      </w:pPr>
      <w:r>
        <w:separator/>
      </w:r>
    </w:p>
  </w:footnote>
  <w:footnote w:type="continuationSeparator" w:id="0">
    <w:p w:rsidR="0086683F" w:rsidRDefault="0086683F" w:rsidP="009E69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5220173"/>
      <w:docPartObj>
        <w:docPartGallery w:val="Page Numbers (Margins)"/>
        <w:docPartUnique/>
      </w:docPartObj>
    </w:sdtPr>
    <w:sdtEndPr/>
    <w:sdtContent>
      <w:p w:rsidR="009E69F0" w:rsidRDefault="009E69F0">
        <w:pPr>
          <w:pStyle w:val="a7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posOffset>19685</wp:posOffset>
                  </wp:positionH>
                  <wp:positionV relativeFrom="page">
                    <wp:posOffset>3333750</wp:posOffset>
                  </wp:positionV>
                  <wp:extent cx="361950" cy="342900"/>
                  <wp:effectExtent l="0" t="0" r="0" b="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6195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4"/>
                                  <w:szCs w:val="24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9E69F0" w:rsidRPr="009E69F0" w:rsidRDefault="009E69F0" w:rsidP="009E69F0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9E69F0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fldChar w:fldCharType="begin"/>
                                  </w:r>
                                  <w:r w:rsidRPr="009E69F0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instrText>PAGE  \* MERGEFORMAT</w:instrText>
                                  </w:r>
                                  <w:r w:rsidRPr="009E69F0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fldChar w:fldCharType="separate"/>
                                  </w:r>
                                  <w:r w:rsidR="00ED15DD" w:rsidRPr="00ED15DD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>4</w:t>
                                  </w:r>
                                  <w:r w:rsidRPr="009E69F0">
                                    <w:rPr>
                                      <w:rFonts w:ascii="Times New Roman" w:eastAsiaTheme="majorEastAsia" w:hAnsi="Times New Roman" w:cs="Times New Roman"/>
                                      <w:sz w:val="24"/>
                                      <w:szCs w:val="24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1" o:spid="_x0000_s1026" style="position:absolute;margin-left:1.55pt;margin-top:262.5pt;width:28.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9E69F0" w:rsidRPr="009E69F0" w:rsidRDefault="009E69F0" w:rsidP="009E69F0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E69F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9E69F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instrText>PAGE  \* MERGEFORMAT</w:instrText>
                            </w:r>
                            <w:r w:rsidRPr="009E69F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ED15DD" w:rsidRPr="00ED15DD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4"/>
                                <w:szCs w:val="24"/>
                              </w:rPr>
                              <w:t>4</w:t>
                            </w:r>
                            <w:r w:rsidRPr="009E69F0">
                              <w:rPr>
                                <w:rFonts w:ascii="Times New Roman" w:eastAsiaTheme="majorEastAsia" w:hAnsi="Times New Roman" w:cs="Times New Roman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655DCD"/>
    <w:multiLevelType w:val="hybridMultilevel"/>
    <w:tmpl w:val="809C4A44"/>
    <w:lvl w:ilvl="0" w:tplc="0BEE10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65C"/>
    <w:rsid w:val="000C66C1"/>
    <w:rsid w:val="00177CDB"/>
    <w:rsid w:val="00202802"/>
    <w:rsid w:val="00251CE4"/>
    <w:rsid w:val="0034550F"/>
    <w:rsid w:val="00371AEE"/>
    <w:rsid w:val="00443F25"/>
    <w:rsid w:val="00451949"/>
    <w:rsid w:val="0046188C"/>
    <w:rsid w:val="004A64E3"/>
    <w:rsid w:val="005D33BA"/>
    <w:rsid w:val="00671E8D"/>
    <w:rsid w:val="00807443"/>
    <w:rsid w:val="0086683F"/>
    <w:rsid w:val="008766A7"/>
    <w:rsid w:val="009E69F0"/>
    <w:rsid w:val="00A36B39"/>
    <w:rsid w:val="00B44CA9"/>
    <w:rsid w:val="00BB7CC7"/>
    <w:rsid w:val="00C8721F"/>
    <w:rsid w:val="00CD0529"/>
    <w:rsid w:val="00D45B65"/>
    <w:rsid w:val="00DC7FCF"/>
    <w:rsid w:val="00E5045F"/>
    <w:rsid w:val="00E679B4"/>
    <w:rsid w:val="00ED15DD"/>
    <w:rsid w:val="00F0165C"/>
    <w:rsid w:val="00F20C6A"/>
    <w:rsid w:val="00FE5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E64C29"/>
  <w15:docId w15:val="{843A0B59-E7BE-4D92-A9AD-C0B23DE7A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E8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1E8D"/>
    <w:pPr>
      <w:spacing w:after="0" w:line="240" w:lineRule="auto"/>
    </w:pPr>
    <w:rPr>
      <w:rFonts w:eastAsiaTheme="minorEastAsia"/>
      <w:lang w:eastAsia="ru-RU"/>
    </w:rPr>
  </w:style>
  <w:style w:type="paragraph" w:customStyle="1" w:styleId="1">
    <w:name w:val="марк список 1"/>
    <w:basedOn w:val="a"/>
    <w:uiPriority w:val="99"/>
    <w:rsid w:val="00671E8D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4">
    <w:name w:val="Нормальный"/>
    <w:basedOn w:val="a"/>
    <w:rsid w:val="00A36B39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</w:rPr>
  </w:style>
  <w:style w:type="table" w:styleId="a5">
    <w:name w:val="Table Grid"/>
    <w:basedOn w:val="a1"/>
    <w:uiPriority w:val="59"/>
    <w:rsid w:val="00A36B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8766A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9E69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E69F0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9E69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E69F0"/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D05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D0529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Standard">
    <w:name w:val="Standard"/>
    <w:rsid w:val="0034550F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1239</Words>
  <Characters>7066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Еременко Ангелина Анатольевна</dc:creator>
  <cp:lastModifiedBy>Побиванец Ирина Ивановна</cp:lastModifiedBy>
  <cp:revision>5</cp:revision>
  <cp:lastPrinted>2026-02-11T05:57:00Z</cp:lastPrinted>
  <dcterms:created xsi:type="dcterms:W3CDTF">2026-06-18T07:25:00Z</dcterms:created>
  <dcterms:modified xsi:type="dcterms:W3CDTF">2026-06-18T07:44:00Z</dcterms:modified>
</cp:coreProperties>
</file>